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50927" w14:textId="3C4F0391" w:rsidR="00953E81" w:rsidRDefault="00325639">
      <w:pPr>
        <w:jc w:val="center"/>
        <w:rPr>
          <w:rFonts w:eastAsia="楷体_GB2312"/>
          <w:b/>
          <w:spacing w:val="-10"/>
          <w:sz w:val="36"/>
          <w:szCs w:val="21"/>
          <w:lang w:eastAsia="en-US"/>
        </w:rPr>
      </w:pPr>
      <w:r>
        <w:rPr>
          <w:rFonts w:eastAsia="楷体_GB2312"/>
          <w:spacing w:val="-10"/>
          <w:szCs w:val="21"/>
        </w:rPr>
      </w:r>
      <w:r>
        <w:rPr>
          <w:rFonts w:eastAsia="楷体_GB2312"/>
          <w:spacing w:val="-10"/>
          <w:szCs w:val="21"/>
        </w:rPr>
        <w:pict w14:anchorId="297D159B">
          <v:group id="_x0000_s1027" editas="canvas" alt="" style="width:523.3pt;height:103.8pt;mso-position-horizontal-relative:char;mso-position-vertical-relative:line" coordorigin="684,901" coordsize="10466,207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" style="position:absolute;left:684;top:901;width:10466;height:2076" o:preferrelative="f">
              <v:fill o:detectmouseclick="t"/>
              <v:path o:extrusionok="t" o:connecttype="none"/>
              <o:lock v:ext="edit" text="t"/>
            </v:shape>
            <v:line id="_x0000_s1029" alt="" style="position:absolute" from="684,1585" to="11150,1586" strokeweight="6pt">
              <v:stroke linestyle="thinThin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" style="position:absolute;left:1463;top:902;width:2846;height:634;mso-wrap-style:square;v-text-anchor:top" filled="f" stroked="f">
              <v:textbox style="mso-next-textbox:#_x0000_s1030;mso-fit-shape-to-text:t" inset="0,0,0,0">
                <w:txbxContent>
                  <w:p w14:paraId="0B2313AE" w14:textId="77777777" w:rsidR="000B2EAE" w:rsidRPr="00293CDA" w:rsidRDefault="000B2EAE" w:rsidP="000B2EAE">
                    <w:pPr>
                      <w:adjustRightInd w:val="0"/>
                      <w:snapToGrid w:val="0"/>
                      <w:jc w:val="center"/>
                      <w:rPr>
                        <w:rFonts w:ascii="Impact" w:hAnsi="Impact"/>
                        <w:sz w:val="52"/>
                        <w:szCs w:val="52"/>
                      </w:rPr>
                    </w:pPr>
                    <w:r w:rsidRPr="00293CDA">
                      <w:rPr>
                        <w:rFonts w:ascii="Impact" w:hAnsi="Impact"/>
                        <w:sz w:val="52"/>
                        <w:szCs w:val="52"/>
                      </w:rPr>
                      <w:t>SEMINAR</w:t>
                    </w:r>
                  </w:p>
                </w:txbxContent>
              </v:textbox>
            </v:shape>
            <v:shape id="_x0000_s1031" type="#_x0000_t202" alt="" style="position:absolute;left:7847;top:901;width:2223;height:981;mso-wrap-style:square;v-text-anchor:top" filled="f" stroked="f">
              <v:textbox style="mso-next-textbox:#_x0000_s1031" inset="0,0,0,0">
                <w:txbxContent>
                  <w:p w14:paraId="5BB6A9DD" w14:textId="77777777" w:rsidR="000B2EAE" w:rsidRPr="00293CDA" w:rsidRDefault="000B2EAE" w:rsidP="000B2EAE">
                    <w:pPr>
                      <w:adjustRightInd w:val="0"/>
                      <w:snapToGrid w:val="0"/>
                      <w:jc w:val="center"/>
                      <w:rPr>
                        <w:rFonts w:ascii="Impact" w:hAnsi="Impact"/>
                        <w:sz w:val="52"/>
                        <w:szCs w:val="52"/>
                      </w:rPr>
                    </w:pPr>
                    <w:r w:rsidRPr="00293CDA">
                      <w:rPr>
                        <w:rFonts w:ascii="Impact" w:hAnsi="Impact"/>
                        <w:sz w:val="52"/>
                        <w:szCs w:val="52"/>
                      </w:rPr>
                      <w:t>SERIES</w:t>
                    </w:r>
                  </w:p>
                </w:txbxContent>
              </v:textbox>
            </v:shape>
            <v:shape id="_x0000_s1032" type="#_x0000_t202" alt="" style="position:absolute;left:741;top:1756;width:4218;height:651;mso-wrap-style:square;v-text-anchor:top" filled="f" stroked="f">
              <v:textbox style="mso-next-textbox:#_x0000_s1032" inset="0,0,0,0">
                <w:txbxContent>
                  <w:p w14:paraId="099F7135" w14:textId="77777777" w:rsidR="000B2EAE" w:rsidRPr="00293CDA" w:rsidRDefault="000B2EAE" w:rsidP="000B2EAE">
                    <w:pPr>
                      <w:adjustRightInd w:val="0"/>
                      <w:snapToGrid w:val="0"/>
                      <w:jc w:val="center"/>
                      <w:rPr>
                        <w:rFonts w:ascii="黑体" w:eastAsia="黑体" w:hAnsi="Impact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力学与工程科学学院</w:t>
                    </w:r>
                  </w:p>
                </w:txbxContent>
              </v:textbox>
            </v:shape>
            <v:shape id="_x0000_s1033" type="#_x0000_t202" alt="" style="position:absolute;left:6783;top:1756;width:4218;height:651;mso-wrap-style:square;v-text-anchor:top" filled="f" stroked="f">
              <v:textbox style="mso-next-textbox:#_x0000_s1033" inset="0,0,0,0">
                <w:txbxContent>
                  <w:p w14:paraId="44C6C3A3" w14:textId="77777777" w:rsidR="000B2EAE" w:rsidRPr="00293CDA" w:rsidRDefault="000B2EAE" w:rsidP="000B2EAE">
                    <w:pPr>
                      <w:adjustRightInd w:val="0"/>
                      <w:snapToGrid w:val="0"/>
                      <w:jc w:val="center"/>
                      <w:rPr>
                        <w:rFonts w:ascii="黑体" w:eastAsia="黑体" w:hAnsi="Impact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航空航天工程</w:t>
                    </w:r>
                    <w:r w:rsidRPr="00293CDA"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系</w:t>
                    </w:r>
                  </w:p>
                </w:txbxContent>
              </v:textbox>
            </v:shape>
            <v:shape id="_x0000_s1034" type="#_x0000_t202" alt="" style="position:absolute;left:1938;top:2326;width:8094;height:651;mso-wrap-style:square;v-text-anchor:top" filled="f" stroked="f">
              <v:textbox style="mso-next-textbox:#_x0000_s1034" inset="0,0,0,0">
                <w:txbxContent>
                  <w:p w14:paraId="184C25B3" w14:textId="77777777" w:rsidR="000B2EAE" w:rsidRPr="00536809" w:rsidRDefault="000B2EAE" w:rsidP="000B2EAE">
                    <w:pPr>
                      <w:adjustRightInd w:val="0"/>
                      <w:snapToGrid w:val="0"/>
                      <w:jc w:val="center"/>
                      <w:rPr>
                        <w:rFonts w:ascii="黑体" w:eastAsia="黑体" w:hAnsi="黑体"/>
                        <w:sz w:val="44"/>
                        <w:szCs w:val="44"/>
                      </w:rPr>
                    </w:pPr>
                    <w:r w:rsidRPr="00536809">
                      <w:rPr>
                        <w:rFonts w:ascii="黑体" w:eastAsia="黑体" w:hAnsi="黑体" w:hint="eastAsia"/>
                        <w:sz w:val="44"/>
                        <w:szCs w:val="44"/>
                      </w:rPr>
                      <w:t>湍流与复杂系统国家重点实验室</w:t>
                    </w:r>
                  </w:p>
                </w:txbxContent>
              </v:textbox>
            </v:shape>
            <v:shape id="_x0000_s1035" type="#_x0000_t75" alt="" style="position:absolute;left:5301;top:958;width:1197;height:1197">
              <v:imagedata r:id="rId5" o:title="title-new070612"/>
            </v:shape>
            <w10:anchorlock/>
          </v:group>
        </w:pict>
      </w:r>
    </w:p>
    <w:tbl>
      <w:tblPr>
        <w:tblW w:w="10643" w:type="dxa"/>
        <w:jc w:val="center"/>
        <w:tblLayout w:type="fixed"/>
        <w:tblLook w:val="0000" w:firstRow="0" w:lastRow="0" w:firstColumn="0" w:lastColumn="0" w:noHBand="0" w:noVBand="0"/>
      </w:tblPr>
      <w:tblGrid>
        <w:gridCol w:w="10643"/>
      </w:tblGrid>
      <w:tr w:rsidR="00953E81" w14:paraId="0239E4BA" w14:textId="77777777">
        <w:trPr>
          <w:trHeight w:val="813"/>
          <w:jc w:val="center"/>
        </w:trPr>
        <w:tc>
          <w:tcPr>
            <w:tcW w:w="10643" w:type="dxa"/>
            <w:tcBorders>
              <w:top w:val="threeDEmboss" w:sz="24" w:space="0" w:color="000000"/>
              <w:bottom w:val="threeDEngrave" w:sz="24" w:space="0" w:color="000000"/>
            </w:tcBorders>
            <w:vAlign w:val="center"/>
          </w:tcPr>
          <w:p w14:paraId="26DCDDE8" w14:textId="6D64D8D6" w:rsidR="00953E81" w:rsidRDefault="00325639">
            <w:pPr>
              <w:ind w:leftChars="-50" w:left="-105" w:rightChars="-50" w:right="-105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eastAsia="SimHei;黑体" w:hint="eastAsia"/>
                <w:b/>
                <w:sz w:val="40"/>
                <w:szCs w:val="40"/>
              </w:rPr>
              <w:t>题目：</w:t>
            </w:r>
            <w:r w:rsidR="00B276D8">
              <w:rPr>
                <w:b/>
                <w:bCs/>
                <w:sz w:val="40"/>
                <w:szCs w:val="40"/>
              </w:rPr>
              <w:t>Combustion of Zero- and Low-Carbon Fuels: From Droplet-Scale Phenomena to Low-Emission Technologies</w:t>
            </w:r>
          </w:p>
        </w:tc>
      </w:tr>
    </w:tbl>
    <w:p w14:paraId="1740AAB8" w14:textId="52749BC5" w:rsidR="00953E81" w:rsidRPr="009B51D1" w:rsidRDefault="00325639" w:rsidP="009B51D1">
      <w:pPr>
        <w:snapToGrid w:val="0"/>
        <w:spacing w:before="156" w:line="240" w:lineRule="atLeast"/>
        <w:jc w:val="center"/>
        <w:rPr>
          <w:rFonts w:eastAsia="SimHei;黑体"/>
          <w:b/>
          <w:bCs/>
          <w:sz w:val="36"/>
          <w:szCs w:val="36"/>
          <w:highlight w:val="yellow"/>
        </w:rPr>
      </w:pPr>
      <w:r>
        <w:rPr>
          <w:rFonts w:eastAsia="SimHei;黑体" w:hint="eastAsia"/>
          <w:b/>
          <w:bCs/>
          <w:sz w:val="36"/>
          <w:szCs w:val="36"/>
        </w:rPr>
        <w:t>报告人</w:t>
      </w:r>
      <w:r>
        <w:rPr>
          <w:rFonts w:eastAsia="SimHei;黑体" w:hint="eastAsia"/>
          <w:b/>
          <w:bCs/>
          <w:sz w:val="36"/>
          <w:szCs w:val="36"/>
        </w:rPr>
        <w:t>:  Pedro Magalhães</w:t>
      </w:r>
      <w:r w:rsidR="009B51D1">
        <w:rPr>
          <w:rFonts w:eastAsia="SimHei;黑体"/>
          <w:b/>
          <w:bCs/>
          <w:sz w:val="36"/>
          <w:szCs w:val="36"/>
        </w:rPr>
        <w:br/>
      </w:r>
      <w:r w:rsidR="00E20C1B" w:rsidRPr="00E20C1B">
        <w:rPr>
          <w:b/>
          <w:sz w:val="32"/>
          <w:szCs w:val="32"/>
          <w:lang w:val="pt-BR"/>
        </w:rPr>
        <w:t xml:space="preserve">Escola Politécnica, </w:t>
      </w:r>
      <w:r w:rsidRPr="00E20C1B">
        <w:rPr>
          <w:b/>
          <w:sz w:val="32"/>
          <w:szCs w:val="32"/>
          <w:lang w:val="pt-BR"/>
        </w:rPr>
        <w:t>University of São Paulo (USP)</w:t>
      </w:r>
    </w:p>
    <w:p w14:paraId="263954AE" w14:textId="77777777" w:rsidR="00AA19B5" w:rsidRPr="00795D1E" w:rsidRDefault="00325639" w:rsidP="009B51D1">
      <w:pPr>
        <w:spacing w:before="120"/>
        <w:rPr>
          <w:b/>
          <w:sz w:val="28"/>
          <w:szCs w:val="28"/>
          <w:lang w:val="pt-BR"/>
        </w:rPr>
      </w:pPr>
      <w:r>
        <w:rPr>
          <w:rFonts w:ascii="Microsoft JhengHei" w:eastAsia="Microsoft JhengHei" w:hAnsi="Microsoft JhengHei" w:cs="Microsoft JhengHei"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>告内容摘要</w:t>
      </w:r>
      <w:r w:rsidRPr="009B51D1">
        <w:rPr>
          <w:rFonts w:hint="eastAsia"/>
          <w:b/>
          <w:sz w:val="28"/>
          <w:szCs w:val="28"/>
        </w:rPr>
        <w:t xml:space="preserve"> Abstract</w:t>
      </w:r>
      <w:r w:rsidRPr="009B51D1">
        <w:rPr>
          <w:b/>
          <w:sz w:val="28"/>
          <w:szCs w:val="28"/>
        </w:rPr>
        <w:t>：</w:t>
      </w:r>
    </w:p>
    <w:p w14:paraId="4576BBF3" w14:textId="29986B87" w:rsidR="00795D1E" w:rsidRDefault="00795D1E" w:rsidP="007461D5">
      <w:pPr>
        <w:pStyle w:val="ab"/>
        <w:spacing w:before="0" w:beforeAutospacing="0"/>
        <w:jc w:val="both"/>
      </w:pPr>
      <w:r w:rsidRPr="00795D1E">
        <w:t xml:space="preserve">Decarbonising transport, power, and industry relies on the clean, stable, and safe combustion of zero- and low-carbon fuels. </w:t>
      </w:r>
      <w:r>
        <w:t xml:space="preserve">In this talk, I will give an overview of my contributions to combustion research, focusing on multiscale problems in combustion transients, stability and emissions. </w:t>
      </w:r>
      <w:r w:rsidR="0084728E">
        <w:t>A</w:t>
      </w:r>
      <w:r>
        <w:t>ttention will be given to ignition and the droplet-scale flame phenomena in sustainable aviation fuel (SAF) sprays</w:t>
      </w:r>
      <w:r w:rsidR="0084728E">
        <w:t>, and</w:t>
      </w:r>
      <w:r>
        <w:t xml:space="preserve"> </w:t>
      </w:r>
      <w:r w:rsidR="0084728E">
        <w:t>t</w:t>
      </w:r>
      <w:r>
        <w:t>he development of low-emissions combustion technologies for SAFs and hydrogen</w:t>
      </w:r>
      <w:r w:rsidR="00E7077E">
        <w:t>.</w:t>
      </w:r>
      <w:r>
        <w:t xml:space="preserve"> I will close with an outlook on new research directions and opportunities for PKU–USP collaborations.</w:t>
      </w:r>
      <w:bookmarkStart w:id="0" w:name="_GoBack"/>
      <w:bookmarkEnd w:id="0"/>
    </w:p>
    <w:p w14:paraId="13881787" w14:textId="27D14981" w:rsidR="00953E81" w:rsidRDefault="00325639" w:rsidP="00AA19B5">
      <w:pPr>
        <w:rPr>
          <w:b/>
          <w:sz w:val="28"/>
          <w:szCs w:val="28"/>
        </w:rPr>
      </w:pPr>
      <w:r>
        <w:rPr>
          <w:rFonts w:ascii="Microsoft JhengHei" w:eastAsia="Microsoft JhengHei" w:hAnsi="Microsoft JhengHei" w:cs="Microsoft JhengHei"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>告人简介</w:t>
      </w:r>
      <w:r>
        <w:rPr>
          <w:rFonts w:hint="eastAsia"/>
          <w:b/>
          <w:sz w:val="28"/>
          <w:szCs w:val="28"/>
        </w:rPr>
        <w:t xml:space="preserve"> Speaker</w:t>
      </w:r>
      <w:r>
        <w:rPr>
          <w:b/>
          <w:sz w:val="28"/>
          <w:szCs w:val="28"/>
        </w:rPr>
        <w:t>：</w:t>
      </w:r>
    </w:p>
    <w:p w14:paraId="21A745EF" w14:textId="38F0B193" w:rsidR="00AD75DA" w:rsidRDefault="00325639" w:rsidP="000B2EAE">
      <w:pPr>
        <w:snapToGrid w:val="0"/>
        <w:spacing w:after="156" w:line="276" w:lineRule="auto"/>
        <w:rPr>
          <w:sz w:val="24"/>
        </w:rPr>
      </w:pPr>
      <w:r>
        <w:rPr>
          <w:noProof/>
        </w:rPr>
        <w:pict w14:anchorId="471E65C7">
          <v:shape id="Picture 1" o:spid="_x0000_s1026" type="#_x0000_t75" alt="" style="position:absolute;left:0;text-align:left;margin-left:359.6pt;margin-top:4.1pt;width:159.1pt;height:224.85pt;z-index:2;visibility:visible;mso-wrap-style:square;mso-wrap-edited:f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allowincell="f">
            <v:imagedata r:id="rId6" o:title=""/>
            <w10:wrap type="square"/>
          </v:shape>
        </w:pict>
      </w:r>
      <w:r w:rsidR="007B246B">
        <w:rPr>
          <w:sz w:val="24"/>
        </w:rPr>
        <w:t xml:space="preserve">Pedro Magalhães works in engineering and thermal sciences, </w:t>
      </w:r>
      <w:r w:rsidR="00F31490">
        <w:rPr>
          <w:sz w:val="24"/>
        </w:rPr>
        <w:t>focusing</w:t>
      </w:r>
      <w:r w:rsidR="007B246B">
        <w:rPr>
          <w:sz w:val="24"/>
        </w:rPr>
        <w:t xml:space="preserve"> on multiphysics and multiscale problems in fluid flows. </w:t>
      </w:r>
      <w:r w:rsidR="00F31490">
        <w:rPr>
          <w:sz w:val="24"/>
        </w:rPr>
        <w:t>He</w:t>
      </w:r>
      <w:r w:rsidR="007B246B">
        <w:rPr>
          <w:sz w:val="24"/>
        </w:rPr>
        <w:t xml:space="preserve"> </w:t>
      </w:r>
      <w:r w:rsidR="00F31490">
        <w:rPr>
          <w:sz w:val="24"/>
        </w:rPr>
        <w:t>completed</w:t>
      </w:r>
      <w:r w:rsidR="007B246B">
        <w:rPr>
          <w:sz w:val="24"/>
        </w:rPr>
        <w:t xml:space="preserve"> his PhD at Cambridge</w:t>
      </w:r>
      <w:r w:rsidR="00F31490">
        <w:rPr>
          <w:sz w:val="24"/>
        </w:rPr>
        <w:t xml:space="preserve"> (2019)</w:t>
      </w:r>
      <w:r w:rsidR="00AD75DA">
        <w:rPr>
          <w:sz w:val="24"/>
        </w:rPr>
        <w:t xml:space="preserve"> and</w:t>
      </w:r>
      <w:r w:rsidR="009B51D1">
        <w:rPr>
          <w:sz w:val="24"/>
        </w:rPr>
        <w:t xml:space="preserve"> </w:t>
      </w:r>
      <w:r w:rsidR="00AD75DA">
        <w:rPr>
          <w:sz w:val="24"/>
        </w:rPr>
        <w:t xml:space="preserve">worked as a Research Associate in </w:t>
      </w:r>
      <w:r w:rsidR="007B246B">
        <w:rPr>
          <w:sz w:val="24"/>
        </w:rPr>
        <w:t>projects</w:t>
      </w:r>
      <w:r w:rsidR="00E20C1B">
        <w:rPr>
          <w:sz w:val="24"/>
        </w:rPr>
        <w:t xml:space="preserve"> ranging</w:t>
      </w:r>
      <w:r w:rsidR="007B246B">
        <w:rPr>
          <w:sz w:val="24"/>
        </w:rPr>
        <w:t xml:space="preserve"> from gas turbine combustion to aerosol formation. </w:t>
      </w:r>
      <w:r w:rsidR="00F31490">
        <w:rPr>
          <w:sz w:val="24"/>
        </w:rPr>
        <w:t>In 2024, h</w:t>
      </w:r>
      <w:r w:rsidR="007B246B">
        <w:rPr>
          <w:sz w:val="24"/>
        </w:rPr>
        <w:t>e joined the University of São Paulo</w:t>
      </w:r>
      <w:r w:rsidR="00AD75DA">
        <w:rPr>
          <w:sz w:val="24"/>
        </w:rPr>
        <w:t xml:space="preserve"> in Brazil, </w:t>
      </w:r>
      <w:r w:rsidR="007B246B">
        <w:rPr>
          <w:sz w:val="24"/>
        </w:rPr>
        <w:t>where he is</w:t>
      </w:r>
      <w:r w:rsidR="00E20C1B">
        <w:rPr>
          <w:sz w:val="24"/>
        </w:rPr>
        <w:t xml:space="preserve"> now</w:t>
      </w:r>
      <w:r w:rsidR="007B246B">
        <w:rPr>
          <w:sz w:val="24"/>
        </w:rPr>
        <w:t xml:space="preserve"> establishing his research group </w:t>
      </w:r>
      <w:r w:rsidR="00AD75DA">
        <w:rPr>
          <w:sz w:val="24"/>
        </w:rPr>
        <w:t xml:space="preserve">on </w:t>
      </w:r>
      <w:r w:rsidR="00E20C1B">
        <w:rPr>
          <w:sz w:val="24"/>
        </w:rPr>
        <w:t>energy</w:t>
      </w:r>
      <w:r w:rsidR="009B51D1">
        <w:rPr>
          <w:sz w:val="24"/>
        </w:rPr>
        <w:t xml:space="preserve"> </w:t>
      </w:r>
      <w:r w:rsidR="00E20C1B">
        <w:rPr>
          <w:sz w:val="24"/>
        </w:rPr>
        <w:t>conversion and process safety technologies for</w:t>
      </w:r>
      <w:r w:rsidR="00AD75DA">
        <w:rPr>
          <w:sz w:val="24"/>
        </w:rPr>
        <w:t xml:space="preserve"> the</w:t>
      </w:r>
      <w:r w:rsidR="00E20C1B">
        <w:rPr>
          <w:sz w:val="24"/>
        </w:rPr>
        <w:t xml:space="preserve"> energy transition</w:t>
      </w:r>
      <w:r w:rsidR="00AD75DA">
        <w:rPr>
          <w:sz w:val="24"/>
        </w:rPr>
        <w:t xml:space="preserve">. </w:t>
      </w:r>
      <w:r w:rsidR="009B51D1">
        <w:rPr>
          <w:sz w:val="24"/>
        </w:rPr>
        <w:t>He</w:t>
      </w:r>
      <w:r w:rsidR="007B246B">
        <w:rPr>
          <w:sz w:val="24"/>
        </w:rPr>
        <w:t xml:space="preserve"> has received distinctions </w:t>
      </w:r>
      <w:r w:rsidR="009B51D1">
        <w:rPr>
          <w:sz w:val="24"/>
        </w:rPr>
        <w:t>such as</w:t>
      </w:r>
      <w:r w:rsidR="007B246B">
        <w:rPr>
          <w:sz w:val="24"/>
        </w:rPr>
        <w:t xml:space="preserve"> the Da Vinci Medal (2021</w:t>
      </w:r>
      <w:r w:rsidR="00E20C1B">
        <w:rPr>
          <w:sz w:val="24"/>
        </w:rPr>
        <w:t>, ERCOFTAC</w:t>
      </w:r>
      <w:r w:rsidR="007B246B">
        <w:rPr>
          <w:sz w:val="24"/>
        </w:rPr>
        <w:t xml:space="preserve">) </w:t>
      </w:r>
      <w:r w:rsidR="00E20C1B">
        <w:rPr>
          <w:sz w:val="24"/>
        </w:rPr>
        <w:t>and</w:t>
      </w:r>
      <w:r w:rsidR="007B246B">
        <w:rPr>
          <w:sz w:val="24"/>
        </w:rPr>
        <w:t xml:space="preserve"> the Clean Sky Best PhD Award (2020</w:t>
      </w:r>
      <w:r w:rsidR="00E20C1B">
        <w:rPr>
          <w:sz w:val="24"/>
        </w:rPr>
        <w:t>, European Commission</w:t>
      </w:r>
      <w:r w:rsidR="007B246B">
        <w:rPr>
          <w:sz w:val="24"/>
        </w:rPr>
        <w:t>). In 2022</w:t>
      </w:r>
      <w:r w:rsidR="00BB2530">
        <w:rPr>
          <w:sz w:val="24"/>
        </w:rPr>
        <w:t>,</w:t>
      </w:r>
      <w:r w:rsidR="007B246B">
        <w:rPr>
          <w:sz w:val="24"/>
        </w:rPr>
        <w:t xml:space="preserve"> he was named an emerging </w:t>
      </w:r>
      <w:r w:rsidR="009B51D1">
        <w:rPr>
          <w:sz w:val="24"/>
        </w:rPr>
        <w:t>leader</w:t>
      </w:r>
      <w:r w:rsidR="007B246B">
        <w:rPr>
          <w:sz w:val="24"/>
        </w:rPr>
        <w:t xml:space="preserve"> by Measurement Science and Technology and </w:t>
      </w:r>
      <w:r w:rsidR="00E20C1B">
        <w:rPr>
          <w:sz w:val="24"/>
        </w:rPr>
        <w:t xml:space="preserve">received </w:t>
      </w:r>
      <w:r w:rsidR="007B246B">
        <w:rPr>
          <w:sz w:val="24"/>
        </w:rPr>
        <w:t>the</w:t>
      </w:r>
      <w:r w:rsidR="00AD75DA">
        <w:rPr>
          <w:sz w:val="24"/>
        </w:rPr>
        <w:t xml:space="preserve"> Combustion Institute’s</w:t>
      </w:r>
      <w:r w:rsidR="00E20C1B">
        <w:rPr>
          <w:sz w:val="24"/>
        </w:rPr>
        <w:t xml:space="preserve"> Bernard Lewis Fellowship</w:t>
      </w:r>
      <w:r w:rsidR="00AD75DA">
        <w:rPr>
          <w:sz w:val="24"/>
        </w:rPr>
        <w:t xml:space="preserve">. </w:t>
      </w:r>
      <w:r w:rsidR="007B246B">
        <w:rPr>
          <w:sz w:val="24"/>
        </w:rPr>
        <w:t xml:space="preserve">He has contributed to the </w:t>
      </w:r>
      <w:r w:rsidR="00AD75DA">
        <w:rPr>
          <w:sz w:val="24"/>
        </w:rPr>
        <w:t xml:space="preserve">US </w:t>
      </w:r>
      <w:r w:rsidR="007B246B">
        <w:rPr>
          <w:sz w:val="24"/>
        </w:rPr>
        <w:t xml:space="preserve">National Jet Fuels Combustion Program and the </w:t>
      </w:r>
      <w:r w:rsidR="009B51D1">
        <w:rPr>
          <w:sz w:val="24"/>
        </w:rPr>
        <w:t xml:space="preserve">UK </w:t>
      </w:r>
      <w:r w:rsidR="007B246B">
        <w:rPr>
          <w:sz w:val="24"/>
        </w:rPr>
        <w:t>Royal Society’s Rapid Assistance in Modelling the Pandemic</w:t>
      </w:r>
      <w:r w:rsidR="00AD75DA">
        <w:rPr>
          <w:sz w:val="24"/>
        </w:rPr>
        <w:t xml:space="preserve">, and </w:t>
      </w:r>
      <w:r w:rsidR="009B51D1">
        <w:rPr>
          <w:sz w:val="24"/>
        </w:rPr>
        <w:t xml:space="preserve">is </w:t>
      </w:r>
      <w:r w:rsidR="00AD75DA">
        <w:rPr>
          <w:sz w:val="24"/>
        </w:rPr>
        <w:t>currently</w:t>
      </w:r>
      <w:r w:rsidR="00BB2530">
        <w:rPr>
          <w:sz w:val="24"/>
        </w:rPr>
        <w:t xml:space="preserve"> an ABCM delegate to ERCOFTAC and a member of the Combustion Institute’s EC Advisory Committee. </w:t>
      </w:r>
      <w:r w:rsidR="009B51D1">
        <w:rPr>
          <w:sz w:val="24"/>
        </w:rPr>
        <w:t>His</w:t>
      </w:r>
      <w:r w:rsidR="00AD75DA">
        <w:rPr>
          <w:sz w:val="24"/>
        </w:rPr>
        <w:t xml:space="preserve"> research interests include fundamental </w:t>
      </w:r>
      <w:r w:rsidR="009B51D1">
        <w:rPr>
          <w:sz w:val="24"/>
        </w:rPr>
        <w:t>experiments</w:t>
      </w:r>
      <w:r w:rsidR="00AD75DA">
        <w:rPr>
          <w:sz w:val="24"/>
        </w:rPr>
        <w:t xml:space="preserve">, modelling and development of advanced diagnostics for low/zero-carbon </w:t>
      </w:r>
      <w:r w:rsidR="009B51D1">
        <w:rPr>
          <w:sz w:val="24"/>
        </w:rPr>
        <w:t>energy-conversion technologies</w:t>
      </w:r>
      <w:r w:rsidR="00AD75DA">
        <w:rPr>
          <w:sz w:val="24"/>
        </w:rPr>
        <w:t xml:space="preserve"> and process safety applications in the energy, </w:t>
      </w:r>
      <w:r w:rsidR="009B51D1">
        <w:rPr>
          <w:sz w:val="24"/>
        </w:rPr>
        <w:t xml:space="preserve">transport, and </w:t>
      </w:r>
      <w:r w:rsidR="00AD75DA">
        <w:rPr>
          <w:sz w:val="24"/>
        </w:rPr>
        <w:t>O&amp;G sectors.</w:t>
      </w:r>
    </w:p>
    <w:p w14:paraId="6AD9BACC" w14:textId="77777777" w:rsidR="000B2EAE" w:rsidRDefault="000B2EAE" w:rsidP="000B2EAE">
      <w:pPr>
        <w:snapToGrid w:val="0"/>
        <w:spacing w:after="156" w:line="276" w:lineRule="auto"/>
        <w:rPr>
          <w:sz w:val="24"/>
        </w:rPr>
      </w:pPr>
    </w:p>
    <w:p w14:paraId="2C61997F" w14:textId="4F036692" w:rsidR="000B2EAE" w:rsidRPr="00E06AC8" w:rsidRDefault="000B2EAE" w:rsidP="000B2EAE">
      <w:pPr>
        <w:tabs>
          <w:tab w:val="right" w:pos="10605"/>
        </w:tabs>
        <w:snapToGrid w:val="0"/>
        <w:spacing w:beforeLines="50" w:before="156"/>
        <w:jc w:val="center"/>
        <w:rPr>
          <w:rFonts w:eastAsia="黑体"/>
          <w:b/>
          <w:sz w:val="28"/>
          <w:szCs w:val="18"/>
        </w:rPr>
      </w:pPr>
      <w:r w:rsidRPr="00E06AC8">
        <w:rPr>
          <w:rFonts w:eastAsia="黑体" w:hint="eastAsia"/>
          <w:b/>
          <w:sz w:val="28"/>
          <w:szCs w:val="18"/>
        </w:rPr>
        <w:t>时间：</w:t>
      </w:r>
      <w:r w:rsidRPr="00E06AC8">
        <w:rPr>
          <w:rFonts w:eastAsia="黑体" w:hint="eastAsia"/>
          <w:b/>
          <w:sz w:val="28"/>
          <w:szCs w:val="18"/>
        </w:rPr>
        <w:t>20</w:t>
      </w:r>
      <w:r w:rsidRPr="00E06AC8">
        <w:rPr>
          <w:rFonts w:eastAsia="黑体"/>
          <w:b/>
          <w:sz w:val="28"/>
          <w:szCs w:val="18"/>
        </w:rPr>
        <w:t>2</w:t>
      </w:r>
      <w:r>
        <w:rPr>
          <w:rFonts w:eastAsia="黑体" w:hint="eastAsia"/>
          <w:b/>
          <w:sz w:val="28"/>
          <w:szCs w:val="18"/>
        </w:rPr>
        <w:t>6</w:t>
      </w:r>
      <w:r w:rsidRPr="00E06AC8">
        <w:rPr>
          <w:rFonts w:eastAsia="黑体" w:hint="eastAsia"/>
          <w:b/>
          <w:sz w:val="28"/>
          <w:szCs w:val="18"/>
        </w:rPr>
        <w:t>年</w:t>
      </w:r>
      <w:r>
        <w:rPr>
          <w:rFonts w:eastAsia="黑体" w:hint="eastAsia"/>
          <w:b/>
          <w:sz w:val="28"/>
          <w:szCs w:val="18"/>
        </w:rPr>
        <w:t>7</w:t>
      </w:r>
      <w:r w:rsidRPr="00E06AC8">
        <w:rPr>
          <w:rFonts w:eastAsia="黑体" w:hint="eastAsia"/>
          <w:b/>
          <w:sz w:val="28"/>
          <w:szCs w:val="18"/>
        </w:rPr>
        <w:t>月</w:t>
      </w:r>
      <w:r w:rsidR="0075042D">
        <w:rPr>
          <w:rFonts w:eastAsia="黑体" w:hint="eastAsia"/>
          <w:b/>
          <w:sz w:val="28"/>
          <w:szCs w:val="18"/>
        </w:rPr>
        <w:t>24</w:t>
      </w:r>
      <w:r w:rsidRPr="00E06AC8">
        <w:rPr>
          <w:rFonts w:eastAsia="黑体" w:hint="eastAsia"/>
          <w:b/>
          <w:sz w:val="28"/>
          <w:szCs w:val="18"/>
        </w:rPr>
        <w:t>日（周</w:t>
      </w:r>
      <w:r w:rsidR="0075042D">
        <w:rPr>
          <w:rFonts w:eastAsia="黑体" w:hint="eastAsia"/>
          <w:b/>
          <w:sz w:val="28"/>
          <w:szCs w:val="18"/>
        </w:rPr>
        <w:t>五</w:t>
      </w:r>
      <w:r w:rsidRPr="00E06AC8">
        <w:rPr>
          <w:rFonts w:eastAsia="黑体" w:hint="eastAsia"/>
          <w:b/>
          <w:sz w:val="28"/>
          <w:szCs w:val="18"/>
        </w:rPr>
        <w:t>）中午</w:t>
      </w:r>
      <w:r w:rsidRPr="00E06AC8">
        <w:rPr>
          <w:rFonts w:eastAsia="黑体"/>
          <w:b/>
          <w:sz w:val="28"/>
          <w:szCs w:val="18"/>
        </w:rPr>
        <w:t>1</w:t>
      </w:r>
      <w:r w:rsidR="000229A9">
        <w:rPr>
          <w:rFonts w:eastAsia="黑体" w:hint="eastAsia"/>
          <w:b/>
          <w:sz w:val="28"/>
          <w:szCs w:val="18"/>
        </w:rPr>
        <w:t>5</w:t>
      </w:r>
      <w:r w:rsidRPr="00E06AC8">
        <w:rPr>
          <w:rFonts w:eastAsia="黑体"/>
          <w:b/>
          <w:sz w:val="28"/>
          <w:szCs w:val="18"/>
        </w:rPr>
        <w:t>:</w:t>
      </w:r>
      <w:r w:rsidR="000229A9">
        <w:rPr>
          <w:rFonts w:eastAsia="黑体" w:hint="eastAsia"/>
          <w:b/>
          <w:sz w:val="28"/>
          <w:szCs w:val="18"/>
        </w:rPr>
        <w:t>0</w:t>
      </w:r>
      <w:r w:rsidRPr="00E06AC8">
        <w:rPr>
          <w:rFonts w:eastAsia="黑体"/>
          <w:b/>
          <w:sz w:val="28"/>
          <w:szCs w:val="18"/>
        </w:rPr>
        <w:t>0 – 1</w:t>
      </w:r>
      <w:r>
        <w:rPr>
          <w:rFonts w:eastAsia="黑体" w:hint="eastAsia"/>
          <w:b/>
          <w:sz w:val="28"/>
          <w:szCs w:val="18"/>
        </w:rPr>
        <w:t>6</w:t>
      </w:r>
      <w:r w:rsidRPr="00E06AC8">
        <w:rPr>
          <w:rFonts w:eastAsia="黑体"/>
          <w:b/>
          <w:sz w:val="28"/>
          <w:szCs w:val="18"/>
        </w:rPr>
        <w:t>:</w:t>
      </w:r>
      <w:r w:rsidR="000229A9">
        <w:rPr>
          <w:rFonts w:eastAsia="黑体" w:hint="eastAsia"/>
          <w:b/>
          <w:sz w:val="28"/>
          <w:szCs w:val="18"/>
        </w:rPr>
        <w:t>3</w:t>
      </w:r>
      <w:r w:rsidRPr="00E06AC8">
        <w:rPr>
          <w:rFonts w:eastAsia="黑体"/>
          <w:b/>
          <w:sz w:val="28"/>
          <w:szCs w:val="18"/>
        </w:rPr>
        <w:t>0</w:t>
      </w:r>
    </w:p>
    <w:p w14:paraId="374A56C2" w14:textId="77777777" w:rsidR="000B2EAE" w:rsidRPr="00E06AC8" w:rsidRDefault="000B2EAE" w:rsidP="000B2EAE">
      <w:pPr>
        <w:tabs>
          <w:tab w:val="right" w:pos="10605"/>
        </w:tabs>
        <w:snapToGrid w:val="0"/>
        <w:ind w:leftChars="-1" w:left="-2"/>
        <w:jc w:val="center"/>
        <w:rPr>
          <w:rFonts w:eastAsia="黑体"/>
          <w:b/>
          <w:sz w:val="28"/>
          <w:szCs w:val="18"/>
        </w:rPr>
      </w:pPr>
      <w:r w:rsidRPr="00E06AC8">
        <w:rPr>
          <w:rFonts w:eastAsia="黑体" w:hint="eastAsia"/>
          <w:b/>
          <w:sz w:val="28"/>
          <w:szCs w:val="18"/>
        </w:rPr>
        <w:t>地点：北京大学</w:t>
      </w:r>
      <w:r w:rsidRPr="00E06AC8">
        <w:rPr>
          <w:rFonts w:eastAsia="黑体" w:hint="eastAsia"/>
          <w:b/>
          <w:sz w:val="28"/>
          <w:szCs w:val="18"/>
        </w:rPr>
        <w:t xml:space="preserve"> </w:t>
      </w:r>
      <w:r w:rsidRPr="00E06AC8">
        <w:rPr>
          <w:rFonts w:eastAsia="黑体" w:hint="eastAsia"/>
          <w:b/>
          <w:sz w:val="28"/>
          <w:szCs w:val="18"/>
        </w:rPr>
        <w:t>新奥工学大楼</w:t>
      </w:r>
      <w:r w:rsidRPr="00E06AC8">
        <w:rPr>
          <w:rFonts w:eastAsia="黑体" w:hint="eastAsia"/>
          <w:b/>
          <w:sz w:val="28"/>
          <w:szCs w:val="18"/>
        </w:rPr>
        <w:t xml:space="preserve"> 3048</w:t>
      </w:r>
      <w:r w:rsidRPr="00E06AC8">
        <w:rPr>
          <w:rFonts w:eastAsia="黑体" w:hint="eastAsia"/>
          <w:b/>
          <w:sz w:val="28"/>
          <w:szCs w:val="18"/>
        </w:rPr>
        <w:t>会议室</w:t>
      </w:r>
    </w:p>
    <w:p w14:paraId="39EF1E1A" w14:textId="7DE74B2B" w:rsidR="000B2EAE" w:rsidRPr="000B2EAE" w:rsidRDefault="000B2EAE" w:rsidP="000B2EAE">
      <w:pPr>
        <w:spacing w:beforeLines="50" w:before="156" w:line="360" w:lineRule="exact"/>
        <w:ind w:leftChars="-1" w:left="-2"/>
        <w:jc w:val="center"/>
        <w:rPr>
          <w:rFonts w:eastAsia="黑体"/>
          <w:szCs w:val="21"/>
        </w:rPr>
      </w:pPr>
      <w:r w:rsidRPr="000B2EAE">
        <w:rPr>
          <w:rFonts w:ascii="黑体" w:eastAsia="黑体" w:hAnsi="宋体" w:hint="eastAsia"/>
          <w:b/>
          <w:sz w:val="32"/>
          <w:szCs w:val="21"/>
        </w:rPr>
        <w:t>欢迎校内外师生</w:t>
      </w:r>
      <w:r w:rsidR="000229A9">
        <w:rPr>
          <w:rFonts w:ascii="黑体" w:eastAsia="黑体" w:hAnsi="宋体" w:hint="eastAsia"/>
          <w:b/>
          <w:sz w:val="32"/>
          <w:szCs w:val="21"/>
        </w:rPr>
        <w:t>参加</w:t>
      </w:r>
      <w:r w:rsidRPr="000B2EAE">
        <w:rPr>
          <w:rFonts w:ascii="黑体" w:eastAsia="黑体" w:hAnsi="宋体" w:hint="eastAsia"/>
          <w:b/>
          <w:sz w:val="32"/>
          <w:szCs w:val="21"/>
        </w:rPr>
        <w:t>！</w:t>
      </w:r>
    </w:p>
    <w:p w14:paraId="56F57F8C" w14:textId="0D722857" w:rsidR="00953E81" w:rsidRPr="000B2EAE" w:rsidRDefault="000B2EAE" w:rsidP="000B2EAE">
      <w:pPr>
        <w:tabs>
          <w:tab w:val="right" w:pos="10605"/>
        </w:tabs>
        <w:snapToGrid w:val="0"/>
        <w:spacing w:beforeLines="50" w:before="156"/>
        <w:ind w:leftChars="-1" w:left="-2"/>
        <w:jc w:val="center"/>
        <w:rPr>
          <w:rFonts w:eastAsia="黑体"/>
          <w:b/>
          <w:sz w:val="24"/>
          <w:szCs w:val="24"/>
        </w:rPr>
      </w:pPr>
      <w:r w:rsidRPr="004025BB">
        <w:rPr>
          <w:rFonts w:eastAsia="黑体" w:hint="eastAsia"/>
          <w:sz w:val="24"/>
          <w:szCs w:val="24"/>
        </w:rPr>
        <w:t>联系人：</w:t>
      </w:r>
      <w:r>
        <w:rPr>
          <w:rFonts w:eastAsia="黑体" w:hint="eastAsia"/>
          <w:sz w:val="24"/>
          <w:szCs w:val="24"/>
        </w:rPr>
        <w:t>陈帜</w:t>
      </w:r>
      <w:r w:rsidR="000229A9">
        <w:rPr>
          <w:rFonts w:eastAsia="黑体" w:hint="eastAsia"/>
          <w:sz w:val="24"/>
          <w:szCs w:val="24"/>
        </w:rPr>
        <w:t xml:space="preserve"> </w:t>
      </w:r>
      <w:r>
        <w:rPr>
          <w:rFonts w:eastAsia="黑体" w:hint="eastAsia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>chenzhi@pku.edu.cn</w:t>
      </w:r>
    </w:p>
    <w:sectPr w:rsidR="00953E81" w:rsidRPr="000B2EAE">
      <w:pgSz w:w="11906" w:h="16838"/>
      <w:pgMar w:top="456" w:right="663" w:bottom="285" w:left="663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;宋体">
    <w:altName w:val="Yu Gothic"/>
    <w:charset w:val="80"/>
    <w:family w:val="roman"/>
    <w:pitch w:val="default"/>
  </w:font>
  <w:font w:name="SimHei;黑体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楷体_GB2312">
    <w:altName w:val="Microsoft YaHei"/>
    <w:charset w:val="86"/>
    <w:family w:val="modern"/>
    <w:pitch w:val="fixed"/>
    <w:sig w:usb0="00000001" w:usb1="080E0000" w:usb2="00000010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51AA"/>
    <w:multiLevelType w:val="multilevel"/>
    <w:tmpl w:val="5E8C813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709"/>
  <w:autoHyphenation/>
  <w:hyphenationZone w:val="0"/>
  <w:characterSpacingControl w:val="doNotCompress"/>
  <w:compat>
    <w:doNotExpandShiftReturn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3E81"/>
    <w:rsid w:val="000229A9"/>
    <w:rsid w:val="000B2EAE"/>
    <w:rsid w:val="00325639"/>
    <w:rsid w:val="0067346E"/>
    <w:rsid w:val="00674B58"/>
    <w:rsid w:val="007461D5"/>
    <w:rsid w:val="0075042D"/>
    <w:rsid w:val="00795D1E"/>
    <w:rsid w:val="007B246B"/>
    <w:rsid w:val="0084728E"/>
    <w:rsid w:val="00953E81"/>
    <w:rsid w:val="009B51D1"/>
    <w:rsid w:val="00AA19B5"/>
    <w:rsid w:val="00AD75DA"/>
    <w:rsid w:val="00B276D8"/>
    <w:rsid w:val="00BB2530"/>
    <w:rsid w:val="00E20C1B"/>
    <w:rsid w:val="00E7077E"/>
    <w:rsid w:val="00F3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C303F66"/>
  <w15:docId w15:val="{0A7996D3-2769-374D-A8FA-8D7793D9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宋体" w:hAnsi="Liberation Serif" w:cs="DejaVu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Times New Roman" w:eastAsia="SimSun;宋体" w:hAnsi="Times New Roman" w:cs="Times New Roman"/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jc w:val="center"/>
      <w:outlineLvl w:val="0"/>
    </w:pPr>
    <w:rPr>
      <w:kern w:val="0"/>
      <w:sz w:val="32"/>
      <w:lang w:eastAsia="en-US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numPr>
        <w:ilvl w:val="1"/>
        <w:numId w:val="1"/>
      </w:numPr>
      <w:spacing w:before="240" w:after="240"/>
      <w:jc w:val="center"/>
      <w:outlineLvl w:val="1"/>
    </w:pPr>
    <w:rPr>
      <w:b/>
      <w:sz w:val="44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numPr>
        <w:ilvl w:val="2"/>
        <w:numId w:val="1"/>
      </w:numPr>
      <w:spacing w:line="320" w:lineRule="exact"/>
      <w:outlineLvl w:val="2"/>
    </w:pPr>
    <w:rPr>
      <w:b/>
      <w:kern w:val="0"/>
      <w:sz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keepNext/>
      <w:numPr>
        <w:ilvl w:val="3"/>
        <w:numId w:val="1"/>
      </w:numPr>
      <w:spacing w:before="120" w:line="320" w:lineRule="exact"/>
      <w:jc w:val="center"/>
      <w:outlineLvl w:val="3"/>
    </w:pPr>
    <w:rPr>
      <w:sz w:val="26"/>
    </w:rPr>
  </w:style>
  <w:style w:type="paragraph" w:styleId="5">
    <w:name w:val="heading 5"/>
    <w:basedOn w:val="a"/>
    <w:next w:val="a0"/>
    <w:uiPriority w:val="9"/>
    <w:semiHidden/>
    <w:unhideWhenUsed/>
    <w:qFormat/>
    <w:pPr>
      <w:keepNext/>
      <w:numPr>
        <w:ilvl w:val="4"/>
        <w:numId w:val="1"/>
      </w:numPr>
      <w:spacing w:before="120" w:line="320" w:lineRule="exact"/>
      <w:jc w:val="center"/>
      <w:outlineLvl w:val="4"/>
    </w:pPr>
    <w:rPr>
      <w:rFonts w:ascii="SimHei;黑体" w:hAnsi="SimHei;黑体" w:cs="Arial"/>
      <w:b/>
      <w:cap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  <w:sz w:val="15"/>
      <w:szCs w:val="15"/>
    </w:rPr>
  </w:style>
  <w:style w:type="character" w:customStyle="1" w:styleId="WW8Num3z1">
    <w:name w:val="WW8Num3z1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HeaderChar">
    <w:name w:val="Header Char"/>
    <w:qFormat/>
    <w:rPr>
      <w:kern w:val="2"/>
      <w:sz w:val="18"/>
      <w:szCs w:val="18"/>
    </w:rPr>
  </w:style>
  <w:style w:type="character" w:customStyle="1" w:styleId="FooterChar">
    <w:name w:val="Footer Char"/>
    <w:qFormat/>
    <w:rPr>
      <w:kern w:val="2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a4">
    <w:name w:val="Body Text"/>
    <w:basedOn w:val="a"/>
    <w:pPr>
      <w:spacing w:before="120" w:line="320" w:lineRule="exact"/>
    </w:pPr>
    <w:rPr>
      <w:rFonts w:ascii="Arial" w:hAnsi="Arial" w:cs="Arial"/>
      <w:sz w:val="32"/>
    </w:rPr>
  </w:style>
  <w:style w:type="paragraph" w:styleId="a5">
    <w:name w:val="List"/>
    <w:basedOn w:val="a4"/>
    <w:rPr>
      <w:rFonts w:cs="DejaVu Sans"/>
    </w:rPr>
  </w:style>
  <w:style w:type="paragraph" w:styleId="a6">
    <w:name w:val="caption"/>
    <w:basedOn w:val="a"/>
    <w:next w:val="a"/>
    <w:qFormat/>
    <w:pPr>
      <w:spacing w:line="500" w:lineRule="exact"/>
      <w:jc w:val="center"/>
    </w:pPr>
    <w:rPr>
      <w:rFonts w:ascii="Arial" w:eastAsia="SimHei;黑体" w:hAnsi="Arial" w:cs="Arial"/>
      <w:kern w:val="0"/>
      <w:sz w:val="44"/>
      <w:lang w:eastAsia="en-US"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styleId="a7">
    <w:name w:val="Subtitle"/>
    <w:basedOn w:val="a"/>
    <w:next w:val="a4"/>
    <w:uiPriority w:val="11"/>
    <w:qFormat/>
    <w:pPr>
      <w:ind w:left="720" w:hanging="720"/>
      <w:jc w:val="center"/>
    </w:pPr>
    <w:rPr>
      <w:sz w:val="72"/>
    </w:rPr>
  </w:style>
  <w:style w:type="paragraph" w:customStyle="1" w:styleId="ABSTRACT">
    <w:name w:val="ABSTRACT"/>
    <w:basedOn w:val="a"/>
    <w:next w:val="a"/>
    <w:qFormat/>
    <w:pPr>
      <w:widowControl/>
      <w:spacing w:before="240" w:line="240" w:lineRule="exact"/>
    </w:pPr>
    <w:rPr>
      <w:kern w:val="0"/>
      <w:sz w:val="22"/>
    </w:rPr>
  </w:style>
  <w:style w:type="paragraph" w:styleId="a0">
    <w:name w:val="Normal Indent"/>
    <w:basedOn w:val="a"/>
    <w:qFormat/>
    <w:pPr>
      <w:ind w:firstLine="420"/>
    </w:pPr>
  </w:style>
  <w:style w:type="paragraph" w:styleId="20">
    <w:name w:val="Body Text 2"/>
    <w:basedOn w:val="a"/>
    <w:qFormat/>
    <w:pPr>
      <w:widowControl/>
    </w:pPr>
    <w:rPr>
      <w:kern w:val="0"/>
      <w:sz w:val="24"/>
      <w:lang w:eastAsia="en-US"/>
    </w:rPr>
  </w:style>
  <w:style w:type="paragraph" w:styleId="a8">
    <w:name w:val="Body Text Indent"/>
    <w:basedOn w:val="a"/>
    <w:pPr>
      <w:spacing w:after="120"/>
      <w:ind w:leftChars="200" w:left="200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b">
    <w:name w:val="Normal (Web)"/>
    <w:basedOn w:val="a"/>
    <w:uiPriority w:val="99"/>
    <w:semiHidden/>
    <w:unhideWhenUsed/>
    <w:rsid w:val="00795D1E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SimHei"/>
        <a:cs typeface="DejaVu Sans"/>
      </a:majorFont>
      <a:minorFont>
        <a:latin typeface="Arial"/>
        <a:ea typeface="SimSun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工学院力学与空天技术系学术报告</vt:lpstr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工学院力学与空天技术系学术报告</dc:title>
  <dc:subject/>
  <dc:creator>chenbin</dc:creator>
  <cp:keywords/>
  <dc:description/>
  <cp:lastModifiedBy>cb</cp:lastModifiedBy>
  <cp:revision>20</cp:revision>
  <cp:lastPrinted>2025-07-04T09:33:00Z</cp:lastPrinted>
  <dcterms:created xsi:type="dcterms:W3CDTF">2023-05-30T02:36:00Z</dcterms:created>
  <dcterms:modified xsi:type="dcterms:W3CDTF">2026-07-21T00:15:00Z</dcterms:modified>
  <dc:language>en-US</dc:language>
</cp:coreProperties>
</file>